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744" w:rsidRPr="00045744" w:rsidRDefault="00045744" w:rsidP="0004574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045744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3: </w:t>
      </w:r>
    </w:p>
    <w:p w:rsidR="00045744" w:rsidRPr="00045744" w:rsidRDefault="00045744" w:rsidP="000457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04574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Основы законодательства в области обеспечения информационной безопасности</w:t>
      </w:r>
    </w:p>
    <w:p w:rsidR="00045744" w:rsidRDefault="00045744" w:rsidP="00045744">
      <w:pPr>
        <w:pStyle w:val="3"/>
        <w:shd w:val="clear" w:color="auto" w:fill="FFFFFF"/>
        <w:spacing w:before="75" w:after="75"/>
        <w:rPr>
          <w:rFonts w:ascii="Tahoma" w:eastAsia="Times New Roman" w:hAnsi="Tahoma" w:cs="Tahoma"/>
          <w:b/>
          <w:bCs/>
          <w:color w:val="000000"/>
          <w:lang w:eastAsia="ru-KZ"/>
        </w:rPr>
      </w:pPr>
      <w:r>
        <w:rPr>
          <w:rStyle w:val="text"/>
          <w:rFonts w:ascii="Tahoma" w:hAnsi="Tahoma" w:cs="Tahoma"/>
          <w:b/>
          <w:bCs/>
          <w:color w:val="494949"/>
          <w:sz w:val="18"/>
          <w:szCs w:val="18"/>
          <w:shd w:val="clear" w:color="auto" w:fill="FFFFFF"/>
        </w:rPr>
        <w:t>Аннотация: </w:t>
      </w:r>
      <w: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  <w:t>В лекции рассказывается о нормативной базе для защиты информации.</w:t>
      </w:r>
    </w:p>
    <w:p w:rsidR="00045744" w:rsidRPr="00045744" w:rsidRDefault="00045744" w:rsidP="00045744">
      <w:pPr>
        <w:pStyle w:val="3"/>
        <w:shd w:val="clear" w:color="auto" w:fill="FFFFFF"/>
        <w:spacing w:before="75" w:after="75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045744">
        <w:rPr>
          <w:rFonts w:ascii="Tahoma" w:eastAsia="Times New Roman" w:hAnsi="Tahoma" w:cs="Tahoma"/>
          <w:b/>
          <w:bCs/>
          <w:color w:val="000000"/>
          <w:lang w:eastAsia="ru-KZ"/>
        </w:rPr>
        <w:t>Правовое обеспечение информационной безопасности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обеспечении информационной безопасности успех может быть эффективным только при применении комплексного подхода. Выше было отмечено, что для защиты интересов субъектов информационных отношений необходимо сочетать меры следующих уровней:</w:t>
      </w:r>
    </w:p>
    <w:p w:rsidR="00045744" w:rsidRPr="00045744" w:rsidRDefault="00045744" w:rsidP="00045744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законодательного;</w:t>
      </w:r>
    </w:p>
    <w:p w:rsidR="00045744" w:rsidRPr="00045744" w:rsidRDefault="00045744" w:rsidP="00045744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административного (приказы, распоряжения, политики и другие организационные действия руководства организаций, связанных с защищаемыми информационными ресурсами);</w:t>
      </w:r>
    </w:p>
    <w:p w:rsidR="00045744" w:rsidRPr="00045744" w:rsidRDefault="00045744" w:rsidP="00045744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процедурного (меры безопасности, ориентированные на персонал);</w:t>
      </w:r>
    </w:p>
    <w:p w:rsidR="00045744" w:rsidRPr="00045744" w:rsidRDefault="00045744" w:rsidP="00045744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программно-технического;</w:t>
      </w:r>
    </w:p>
    <w:p w:rsidR="00045744" w:rsidRPr="00045744" w:rsidRDefault="00045744" w:rsidP="00045744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физического (комплексная защита помещений, оборудования и персонала).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Законодательный уровень является важнейшим для обеспечения информационной безопасности. Будем различать на этом уровне две группы мер:</w:t>
      </w:r>
    </w:p>
    <w:p w:rsidR="00045744" w:rsidRPr="00045744" w:rsidRDefault="00045744" w:rsidP="00045744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меры, направленные на создание и поддержание в обществе негативного (в том числе с применением наказаний) отношения к нарушениям и нарушителям информационной безопасности ("мерами ограничительной направленности");</w:t>
      </w:r>
    </w:p>
    <w:p w:rsidR="00045744" w:rsidRPr="00045744" w:rsidRDefault="00045744" w:rsidP="00045744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направляющие и координирующие меры, способствующие повышению образованности общества в области информационной безопасности, помогающие в разработке и распространении средств обеспечения информационной безопасности (меры созидательной направленности).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практике обе группы мер важны в равной степени, но необходимо подчеркнуть аспект осознанного соблюдения норм и правил ИБ. Это важно для всех субъектов информационных отношений, поскольку рассчитывать только на защиту силами системных администраторов и сотрудников службы безопасности предприятия было бы неправильно. Необходимо это и тем, в чьи обязанности входит наказывать нарушителей, поскольку обеспечить доказательность при расследовании и судебном разбирательстве компьютерных преступлений без специальной подготовки невозможно.</w:t>
      </w:r>
    </w:p>
    <w:p w:rsidR="00045744" w:rsidRPr="00045744" w:rsidRDefault="00045744" w:rsidP="00045744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0" w:name="sect2"/>
      <w:bookmarkEnd w:id="0"/>
      <w:r w:rsidRPr="00045744">
        <w:rPr>
          <w:rFonts w:ascii="Tahoma" w:eastAsia="Times New Roman" w:hAnsi="Tahoma" w:cs="Tahoma"/>
          <w:b/>
          <w:bCs/>
          <w:color w:val="000000"/>
          <w:lang w:eastAsia="ru-KZ"/>
        </w:rPr>
        <w:t>Краткий обзор зарубежного законодательства в области информационной безопасности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Одним из важнейших законов в этом направлении является американский "Закон об информационной безопасности" (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Computer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Security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Act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1987,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Public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Law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100-235,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January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8, 1988). Цель закона — реализация минимальных, но достаточных действий по обеспечению безопасности информации в федеральных компьютерных системах, без ограничений спектра возможных действий.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начале Закона называется конкретный исполнитель —Национальный институт стандартов и технологий, НИСТ (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National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Institute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Standardization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— NIST), отвечающий за выпуск стандартов и руководств, направленных на защиту от уничтожения и несанкционированного доступа к информации, а также от краж и подлогов, выполняемых с помощью компьютеров. Документы, выпускаемые институтом, являются руководствами "симметричного действия", служащие как для регламентации действий специалистов, так и для повышения информированности общества.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Согласно Закону, все операторы федеральных информационных систем и баз данных, содержащих конфиденциальную информацию, должны сформировать планы обеспечения ИБ. Обязательным является и периодическое обучение всего персонала таких ИС. Институт, в свою очередь, обязан проводить </w:t>
      </w: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исследования природы и масштаба уязвимых мест, вырабатывать экономически оправданные меры защиты. Результаты исследований применяются как в государственных системах, так и в частном секторе.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Закон обязывает НИСТ координировать свою деятельность с другими министерствами и ведомствами, включая Министерство обороны, Министерство энергетики, Агентство национальной безопасности (АНБ) и т.д., чтобы избежать дублирования и несовместимости. Помимо регламентации дополнительных функций НИСТ, Закон предписывает создать при Министерстве торговли США комиссию по информационной безопасности, которая должна:</w:t>
      </w:r>
    </w:p>
    <w:p w:rsidR="00045744" w:rsidRPr="00045744" w:rsidRDefault="00045744" w:rsidP="00045744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выявлять перспективные управленческие, техническо-технологические, программные и физические меры, способствующие повышению ИБ;</w:t>
      </w:r>
    </w:p>
    <w:p w:rsidR="00045744" w:rsidRPr="00045744" w:rsidRDefault="00045744" w:rsidP="00045744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выдавать рекомендации Национальному институту стандартов и технологий, доводить их до сведения всех заинтересованных ведомств.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С практической точки зрения важен раздел № 6 Закона, обязывающий все правительственные ведомства сформировать план обеспечения информационной безопасности, направленный на то, чтобы компенсировать риски и предотвратить возможный ущерб от утери, неправильного использования, несанкционированного доступа или модификации информации в федеральных системах. Копии планов направляются в НИСТ и в Агентство национальной безопасности (АНБ,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National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Safety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Agency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— NSA).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1997 году появился законопроект "О совершенствовании информационной безопасности" (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Computer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Security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Enhancement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Act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1997, H.R. 1903), направленный на усиление роли НИСТ и упрощение операций с криптографическими средствами.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законопроекте констатируется, что частные компании-разработчики готовы предоставить криптографические средства для обеспечения конфиденциальности, целостности и аутентичности данных и что разработка и использование шифровальных технологий должны происходить на основании требований рынка, а не распоряжений правительства. Кроме того, здесь отмечается, что за пределами США имеются сопоставимые и общедоступные криптографические технологии, и это следует учитывать при выработке экспортных ограничений, чтобы не снижать конкурентоспособность американских производителей аппаратного и программного обеспечения.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Очень важен раздел 3, в котором закрепляется обязанность НИСТ готовить стандарты, руководства, средства и методы для инфраструктуры открытых ключей (ниже аналогичный закон РФ об ЭЦП) по запросам частного сектора. Эти нормативные документы позволяют сформировать негосударственную инфраструктуру, пригодную для взаимодействия с федеральными ИС. В разделе № 4 особое внимание обращается на необходимость анализа средств и методов оценки уязвимых мест других продуктов частного сектора в области ИБ. Законом поощряется разработка требований и правил безопасности, нейтральных по отношению к конкретным техническим решениям, использование в федеральных ИС коммерческих продуктов, участие в реализации шифровальных технологий, позволяющее в конечном итоге сформировать инфраструктуру, которую можно рассматривать как резервную для федеральных ИС.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Важно, что в соответствии с разделами № 10 и далее предусматривается выделение финансирования, называются точные сроки реализации программ партнёрства и проведения исследований инфраструктуры с открытыми ключами, национальной инфраструктуры цифровых подписей. В частности, предусматривается, что для удостоверяющих центров должны быть разработаны типовые правила и процедуры, порядок лицензирования, стандарты аудита. В 2001 году был одобрен Палатой представителей и передан в Сенат новый вариант рассмотренного законопроекта —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Computer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Security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Enhancement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Act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2001 (H.R. 1259 RFS).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 четыре года (1997-2001 годы) на законодательном и других уровнях информационной безопасности США было сделано следующие важные разработки:</w:t>
      </w:r>
    </w:p>
    <w:p w:rsidR="00045744" w:rsidRPr="00045744" w:rsidRDefault="00045744" w:rsidP="00045744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смягчены экспортные ограничения на криптографические средства (январь 2000 г.);</w:t>
      </w:r>
    </w:p>
    <w:p w:rsidR="00045744" w:rsidRPr="00045744" w:rsidRDefault="00045744" w:rsidP="00045744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сформирована инфраструктура с открытыми ключами;</w:t>
      </w:r>
    </w:p>
    <w:p w:rsidR="00045744" w:rsidRPr="00045744" w:rsidRDefault="00045744" w:rsidP="00045744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разработано большое число стандартов (например, новый стандарт электронной цифровой подписи — FIPS 186-2, январь 2000 г.).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Программа безопасности, предусматривающая экономически оправданные защитные меры, синхронизированные с жизненным циклом информационных технологий и систем, неоднократно входит в законодательные акты США. Например, согласно пункту 3534 ("Обязанности федеральных ведомств")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подглавы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II ("Информационная безопасность") главы 35 ("Координация федеральной информационной политики") рубрики 44 ("Общественные издания и документы"), такая "Программа" должна включать:</w:t>
      </w:r>
    </w:p>
    <w:p w:rsidR="00045744" w:rsidRPr="00045744" w:rsidRDefault="00045744" w:rsidP="00045744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периодическую оценку рисков с рассмотрением внутренних и внешних угроз целостности, конфиденциальности и доступности систем, а также данных, ассоциированных с критически важными операциями и ресурсами;</w:t>
      </w:r>
    </w:p>
    <w:p w:rsidR="00045744" w:rsidRPr="00045744" w:rsidRDefault="00045744" w:rsidP="00045744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правила и процедуры, позволяющие, опираясь на проведенный анализ рисков, экономически оправданным образом уменьшить риски до приемлемого уровня;</w:t>
      </w:r>
    </w:p>
    <w:p w:rsidR="00045744" w:rsidRPr="00045744" w:rsidRDefault="00045744" w:rsidP="00045744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обучение персонала с целью информирования о существующих рисках и об обязанностях, выполнение которых необходимо для их (рисков) нейтрализации;</w:t>
      </w:r>
    </w:p>
    <w:p w:rsidR="00045744" w:rsidRPr="00045744" w:rsidRDefault="00045744" w:rsidP="00045744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периодический аудит и (пере)оценку эффективности правил и процедур;</w:t>
      </w:r>
    </w:p>
    <w:p w:rsidR="00045744" w:rsidRPr="00045744" w:rsidRDefault="00045744" w:rsidP="00045744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порядок и действия при внесении существенных изменений в систему;</w:t>
      </w:r>
    </w:p>
    <w:p w:rsidR="00045744" w:rsidRPr="00045744" w:rsidRDefault="00045744" w:rsidP="00045744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процедуры выявления нарушений информационной безопасности и реагирования на них; эти процедуры должны помочь уменьшить риски, избежать крупных потерь; организовать взаимодействие с правоохранительными органами.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законодательстве Германии можно выделить "Закон о защите данных" (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Federal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Data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Protection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Act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December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20, 1990 (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BGBl.I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1990 S.2954),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amended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by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law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September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14, 1994 (</w:t>
      </w:r>
      <w:proofErr w:type="spellStart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BGBl</w:t>
      </w:r>
      <w:proofErr w:type="spellEnd"/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I S. 2325)), который целиком посвящен защите персональных данных.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Законом устанавливается приоритет интересов национальной безопасности над сохранением тайны частной жизни. В остальном, права личности защищены весьма тщательно. Например, если сотрудник фирмы обрабатывает персональные данные в интересах частных компаний, он дает подписку о неразглашении, которая действует и после перехода на другую работу. Государственные учреждения, хранящие и обрабатывающие персональные данные, несут ответственность за нарушение тайны частной жизни "субъекта данных", как говорится в Законе. В материальном выражении ответственность ограничена верхним пределом в 250 тысяч немецких марок.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 законодательства Великобритании можно выделить семейство так называемых "добровольных стандартов" BS 7799, помогающих организациям на практике сформировать программы безопасности. Ниже положения этого системообразующего стандарта будут рассмотрены подробнее.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Закон вводит следующие основные понятия: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электронный документ;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электронная цифровая подпись;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владелец сертификата ключа подписи;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электронной цифровой подписи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сертификат средств электронной цифровой подписи;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закрытый ключ электронной цифровой подписи;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сертификат ключа подписи;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пользователь сертификата ключа подписи;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информационная система общего пользования;</w:t>
      </w:r>
    </w:p>
    <w:p w:rsidR="00045744" w:rsidRPr="00045744" w:rsidRDefault="00045744" w:rsidP="00045744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корпоративная информационная система.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Согласно Закону, электронная цифровая подпись в электронном документе равнозначна собственноручной подписи в документе на бумажном носителе при одновременном соблюдении следующих условий: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сертификат ключа подписи, относящийся к этой электронной цифровой подписи,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подтверждена подлинность электронной цифровой подписи в электронном документе;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электронная цифровая подпись используется в соответствии со сведениями, указанными в сертификате ключа подписи.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закон определяет сведения, которые должен содержать сертификат ключа подписи: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уникальный регистрационный номер сертификата ключа подписи, даты начала и окончания срока действия сертификата ключа подписи, находящегося в реестре удостоверяющего центра;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фамилия, имя и отчество владельца сертификата ключа подписи или псевдоним владельца. В случае использования псевдонима запись об этом вносится удостоверяющим центром в сертификат ключа подписи;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открытый ключ электронной цифровой подписи;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наименование средств электронной цифровой подписи, с которыми используется данный открытый ключ электронной цифровой подписи;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наименование и местонахождение удостоверяющего центра, выдавшего сертификат ключа подписи;</w:t>
      </w:r>
    </w:p>
    <w:p w:rsidR="00045744" w:rsidRPr="00045744" w:rsidRDefault="00045744" w:rsidP="00045744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сведения об отношениях, при осуществлении которых электронный документ с электронной цифровой подписью будет иметь юридическое значение.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заключение раздела отметим, что в области информационной безопасности законы реально работают через нормативные документы, подготовленные соответствующими ведомствами. В этой связи очень важны руководящие документы Гостехкомиссии РФ, определяющие требования к классам защищенности средств вычислительной техники и автоматизированных систем. Особенно выделим утвержденный в июле 1997 года "Руководящий документ по межсетевым экранам", вводящий в официальную сферу использования один из самых современных классов защитных средств.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современном мире глобальных сетей нормативно-правовая база должна быть согласована с международной практикой. Особое внимание следует обратить на то, что желательно привести российские стандарты и сертификационные нормативы в соответствие с международным уровнем информационных технологий вообще и информационной безопасности в частности. Есть целый ряд оснований для того, чтобы это сделать. Одно из них — необходимость защищенного взаимодействия с зарубежными организациями и зарубежными филиалами российских компаний, второе (более существенное) — доминирование на современном этапе развития аппаратно-программных продуктов зарубежного производства.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законодательном уровне должен быть решен вопрос об отношении к таким изделиям. Здесь необходимо выделить два аспекта: независимость в области информационных технологий и информационную безопасность. Использование зарубежных продуктов в некоторых критически важных системах (в первую очередь, оборонных), в принципе, может представлять угрозу национальной безопасности (в том числе информационной), поскольку нельзя исключить вероятности встраивания "закладных" элементов. В то же время, в подавляющем большинстве случаев потенциальные угрозы информационной безопасности носят исключительно внутренний характер. В таких условиях незаконность использования зарубежных разработок (ввиду сложностей с их сертификацией) при отсутствии отечественных аналогов затрудняет (или вообще делает невозможной) защиту информации без серьезных на то оснований.</w:t>
      </w:r>
    </w:p>
    <w:p w:rsidR="00045744" w:rsidRPr="00045744" w:rsidRDefault="00045744" w:rsidP="00045744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45744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Проблема сертификации аппаратно-программных продуктов зарубежного производства действительно сложна, однако, как показывает опыт европейских стран, решить ее можно. Сложившаяся в Европе система сертификации по требованиям информационной безопасности позволила оценить операционные системы, системы управления базами данных и другие разработки американских компаний. Вхождение России в эту систему и участие российских специалистов в сертификационных испытаниях в состоянии снять имеющееся противоречие между независимостью в области информационных технологий и информационной безопасностью без какого-либо ущерба для национальной безопасности.</w:t>
      </w:r>
    </w:p>
    <w:p w:rsidR="00045744" w:rsidRDefault="00045744">
      <w:bookmarkStart w:id="1" w:name="_GoBack"/>
      <w:bookmarkEnd w:id="1"/>
    </w:p>
    <w:sectPr w:rsidR="0004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A02D2"/>
    <w:multiLevelType w:val="multilevel"/>
    <w:tmpl w:val="B33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547BF"/>
    <w:multiLevelType w:val="multilevel"/>
    <w:tmpl w:val="7060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871DC"/>
    <w:multiLevelType w:val="multilevel"/>
    <w:tmpl w:val="88F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60D2B"/>
    <w:multiLevelType w:val="multilevel"/>
    <w:tmpl w:val="99B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E31B4"/>
    <w:multiLevelType w:val="multilevel"/>
    <w:tmpl w:val="0972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A2493"/>
    <w:multiLevelType w:val="multilevel"/>
    <w:tmpl w:val="BC2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95F8C"/>
    <w:multiLevelType w:val="multilevel"/>
    <w:tmpl w:val="ABD8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44"/>
    <w:rsid w:val="00045744"/>
    <w:rsid w:val="003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9DA0"/>
  <w15:chartTrackingRefBased/>
  <w15:docId w15:val="{756E54A4-75D7-49F7-B7B6-63212FA0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45744"/>
  </w:style>
  <w:style w:type="character" w:customStyle="1" w:styleId="spelling-content-entity">
    <w:name w:val="spelling-content-entity"/>
    <w:basedOn w:val="a0"/>
    <w:rsid w:val="00045744"/>
  </w:style>
  <w:style w:type="character" w:customStyle="1" w:styleId="30">
    <w:name w:val="Заголовок 3 Знак"/>
    <w:basedOn w:val="a0"/>
    <w:link w:val="3"/>
    <w:uiPriority w:val="9"/>
    <w:semiHidden/>
    <w:rsid w:val="000457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2106</Words>
  <Characters>12008</Characters>
  <Application>Microsoft Office Word</Application>
  <DocSecurity>0</DocSecurity>
  <Lines>100</Lines>
  <Paragraphs>28</Paragraphs>
  <ScaleCrop>false</ScaleCrop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2023-10-11T03:01:00Z</dcterms:created>
  <dcterms:modified xsi:type="dcterms:W3CDTF">2023-10-11T03:06:00Z</dcterms:modified>
</cp:coreProperties>
</file>